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2BB6D881" w:rsidR="003D41E3" w:rsidRPr="00EE3824" w:rsidRDefault="00FC2DAD" w:rsidP="001F1078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9EBF2D9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9EBF2D9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4009"/>
        <w:gridCol w:w="1341"/>
        <w:gridCol w:w="1847"/>
        <w:gridCol w:w="661"/>
        <w:gridCol w:w="1826"/>
        <w:gridCol w:w="956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209C8B95" w14:textId="77777777" w:rsidR="001F1078" w:rsidRPr="001D007C" w:rsidRDefault="001F1078" w:rsidP="001F107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1D007C">
              <w:rPr>
                <w:rFonts w:cs="Arial"/>
                <w:b/>
                <w:color w:val="000000" w:themeColor="text1"/>
                <w:szCs w:val="20"/>
              </w:rPr>
              <w:t>Konkurentsiamet</w:t>
            </w:r>
          </w:p>
          <w:p w14:paraId="30A387E1" w14:textId="77777777" w:rsidR="001F1078" w:rsidRPr="001D007C" w:rsidRDefault="001F1078" w:rsidP="001F1078">
            <w:pPr>
              <w:autoSpaceDE w:val="0"/>
              <w:autoSpaceDN w:val="0"/>
              <w:adjustRightInd w:val="0"/>
              <w:rPr>
                <w:rFonts w:cs="Arial"/>
                <w:color w:val="000000" w:themeColor="text1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maksejõuetuse teenistus</w:t>
            </w:r>
          </w:p>
          <w:p w14:paraId="44B11717" w14:textId="0CA097C9" w:rsidR="000D7F91" w:rsidRDefault="001F1078" w:rsidP="001F1078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r w:rsidRPr="001D007C">
              <w:rPr>
                <w:rFonts w:cs="Arial"/>
                <w:color w:val="000000" w:themeColor="text1"/>
                <w:szCs w:val="20"/>
              </w:rPr>
              <w:t>e-post info@konkurentsiamet.ee</w:t>
            </w: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7E61C771" w:rsidR="000D7F91" w:rsidRDefault="001F1078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23. mai</w:t>
            </w:r>
          </w:p>
        </w:tc>
        <w:tc>
          <w:tcPr>
            <w:tcW w:w="554" w:type="dxa"/>
            <w:shd w:val="clear" w:color="auto" w:fill="auto"/>
          </w:tcPr>
          <w:p w14:paraId="69A35BDD" w14:textId="128BE89F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  <w:r w:rsidR="008A764D">
              <w:rPr>
                <w:rFonts w:cs="Arial"/>
                <w:szCs w:val="20"/>
              </w:rPr>
              <w:t>24</w:t>
            </w:r>
          </w:p>
        </w:tc>
        <w:tc>
          <w:tcPr>
            <w:tcW w:w="1851" w:type="dxa"/>
            <w:shd w:val="clear" w:color="auto" w:fill="auto"/>
          </w:tcPr>
          <w:p w14:paraId="2A0A5C2C" w14:textId="7DA762DE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  <w:r w:rsidR="001F1078">
              <w:rPr>
                <w:rFonts w:cs="Arial"/>
                <w:szCs w:val="20"/>
              </w:rPr>
              <w:t>2-24-3381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2165D7D5" w14:textId="77777777" w:rsidR="001F1078" w:rsidRDefault="001F1078" w:rsidP="001F1078">
      <w:pPr>
        <w:jc w:val="both"/>
        <w:rPr>
          <w:rFonts w:cs="Arial"/>
          <w:lang w:eastAsia="et-EE"/>
        </w:rPr>
      </w:pPr>
    </w:p>
    <w:p w14:paraId="3078BE5C" w14:textId="77777777" w:rsidR="001F1078" w:rsidRDefault="001F1078" w:rsidP="001F1078">
      <w:pPr>
        <w:jc w:val="both"/>
        <w:rPr>
          <w:rFonts w:cs="Arial"/>
          <w:lang w:eastAsia="et-EE"/>
        </w:rPr>
      </w:pPr>
    </w:p>
    <w:p w14:paraId="5CB5E4C3" w14:textId="77777777" w:rsidR="001F1078" w:rsidRDefault="001F1078" w:rsidP="001F1078">
      <w:pPr>
        <w:jc w:val="both"/>
        <w:rPr>
          <w:rFonts w:cs="Arial"/>
          <w:lang w:eastAsia="et-EE"/>
        </w:rPr>
      </w:pPr>
    </w:p>
    <w:p w14:paraId="1E2856E7" w14:textId="77777777" w:rsidR="001F1078" w:rsidRPr="001D007C" w:rsidRDefault="001F1078" w:rsidP="001F1078">
      <w:pPr>
        <w:rPr>
          <w:rFonts w:cs="Arial"/>
          <w:b/>
          <w:color w:val="000000" w:themeColor="text1"/>
          <w:szCs w:val="20"/>
        </w:rPr>
      </w:pPr>
      <w:r w:rsidRPr="001D007C">
        <w:rPr>
          <w:rFonts w:cs="Arial"/>
          <w:b/>
          <w:bCs/>
          <w:noProof/>
          <w:color w:val="000000" w:themeColor="text1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2B6AFD" wp14:editId="3CB41F3D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1" name="Tekstiväl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3A508" w14:textId="77777777" w:rsidR="001F1078" w:rsidRPr="00F63BD2" w:rsidRDefault="001F1078" w:rsidP="001F1078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2B6AFD" id="Tekstiväli 1" o:spid="_x0000_s1027" type="#_x0000_t202" style="position:absolute;margin-left:0;margin-top:-42.55pt;width:252pt;height:35.2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" stroked="f">
                <v:textbox style="mso-fit-shape-to-text:t">
                  <w:txbxContent>
                    <w:p w14:paraId="1D73A508" w14:textId="77777777" w:rsidR="001F1078" w:rsidRPr="00F63BD2" w:rsidRDefault="001F1078" w:rsidP="001F1078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  <w:r w:rsidRPr="001D007C">
        <w:rPr>
          <w:rFonts w:cs="Arial"/>
          <w:b/>
          <w:color w:val="000000" w:themeColor="text1"/>
          <w:szCs w:val="20"/>
        </w:rPr>
        <w:t>Ettepanek pankrotimenetluse läbiviimiseks avaliku uurimisena</w:t>
      </w:r>
    </w:p>
    <w:p w14:paraId="0BBCDC64" w14:textId="77777777" w:rsidR="001F1078" w:rsidRDefault="001F1078" w:rsidP="001F1078">
      <w:pPr>
        <w:jc w:val="both"/>
        <w:rPr>
          <w:rFonts w:cs="Arial"/>
          <w:lang w:eastAsia="et-EE"/>
        </w:rPr>
      </w:pPr>
      <w:r>
        <w:rPr>
          <w:rFonts w:cs="Arial"/>
          <w:b/>
          <w:color w:val="000000" w:themeColor="text1"/>
          <w:szCs w:val="20"/>
        </w:rPr>
        <w:t xml:space="preserve">OÜ Walton </w:t>
      </w:r>
      <w:r w:rsidRPr="001D007C">
        <w:rPr>
          <w:rFonts w:cs="Arial"/>
          <w:b/>
          <w:color w:val="000000" w:themeColor="text1"/>
          <w:szCs w:val="20"/>
        </w:rPr>
        <w:t>(reg</w:t>
      </w:r>
      <w:r>
        <w:rPr>
          <w:rFonts w:cs="Arial"/>
          <w:b/>
          <w:color w:val="000000" w:themeColor="text1"/>
          <w:szCs w:val="20"/>
        </w:rPr>
        <w:t>istri</w:t>
      </w:r>
      <w:r w:rsidRPr="001D007C">
        <w:rPr>
          <w:rFonts w:cs="Arial"/>
          <w:b/>
          <w:color w:val="000000" w:themeColor="text1"/>
          <w:szCs w:val="20"/>
        </w:rPr>
        <w:t>kood</w:t>
      </w:r>
      <w:r>
        <w:rPr>
          <w:rFonts w:cs="Arial"/>
          <w:b/>
          <w:color w:val="000000" w:themeColor="text1"/>
          <w:szCs w:val="20"/>
        </w:rPr>
        <w:t xml:space="preserve"> 11775336</w:t>
      </w:r>
      <w:r w:rsidRPr="001D007C">
        <w:rPr>
          <w:rFonts w:cs="Arial"/>
          <w:b/>
          <w:color w:val="000000" w:themeColor="text1"/>
          <w:szCs w:val="20"/>
        </w:rPr>
        <w:t>) suhtes</w:t>
      </w:r>
    </w:p>
    <w:p w14:paraId="5A78B90A" w14:textId="77777777" w:rsidR="001F1078" w:rsidRDefault="001F1078" w:rsidP="001F1078">
      <w:pPr>
        <w:jc w:val="both"/>
        <w:rPr>
          <w:rFonts w:cs="Arial"/>
          <w:lang w:eastAsia="et-EE"/>
        </w:rPr>
      </w:pPr>
    </w:p>
    <w:p w14:paraId="4475E0C3" w14:textId="77777777" w:rsidR="001F1078" w:rsidRDefault="001F1078" w:rsidP="001F1078">
      <w:pPr>
        <w:jc w:val="both"/>
        <w:rPr>
          <w:rFonts w:cs="Arial"/>
          <w:lang w:eastAsia="et-EE"/>
        </w:rPr>
      </w:pPr>
    </w:p>
    <w:p w14:paraId="4FB87216" w14:textId="77777777" w:rsidR="001F1078" w:rsidRPr="001D007C" w:rsidRDefault="001F1078" w:rsidP="001F1078">
      <w:pPr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Tartu Maakohtu menetluses on</w:t>
      </w:r>
      <w:r>
        <w:rPr>
          <w:rFonts w:cs="Arial"/>
          <w:color w:val="000000" w:themeColor="text1"/>
          <w:szCs w:val="20"/>
        </w:rPr>
        <w:t xml:space="preserve"> </w:t>
      </w:r>
      <w:r w:rsidRPr="00A6263F">
        <w:rPr>
          <w:rFonts w:cs="Arial"/>
          <w:bCs/>
          <w:color w:val="000000" w:themeColor="text1"/>
          <w:szCs w:val="20"/>
        </w:rPr>
        <w:t>OÜ</w:t>
      </w:r>
      <w:r>
        <w:rPr>
          <w:rFonts w:cs="Arial"/>
          <w:bCs/>
          <w:color w:val="000000" w:themeColor="text1"/>
          <w:szCs w:val="20"/>
        </w:rPr>
        <w:t> Walton</w:t>
      </w:r>
      <w:r w:rsidRPr="001D007C">
        <w:rPr>
          <w:rFonts w:cs="Arial"/>
          <w:color w:val="000000" w:themeColor="text1"/>
          <w:szCs w:val="20"/>
        </w:rPr>
        <w:t xml:space="preserve"> pankrotiavaldus, tsiviilasi</w:t>
      </w:r>
      <w:r>
        <w:rPr>
          <w:rFonts w:cs="Arial"/>
          <w:color w:val="000000" w:themeColor="text1"/>
          <w:szCs w:val="20"/>
        </w:rPr>
        <w:t xml:space="preserve"> nr </w:t>
      </w:r>
      <w:r w:rsidRPr="001D007C">
        <w:rPr>
          <w:rFonts w:cs="Arial"/>
          <w:color w:val="000000" w:themeColor="text1"/>
          <w:szCs w:val="20"/>
        </w:rPr>
        <w:t>2-24-</w:t>
      </w:r>
      <w:r>
        <w:rPr>
          <w:rFonts w:cs="Arial"/>
          <w:color w:val="000000" w:themeColor="text1"/>
          <w:szCs w:val="20"/>
        </w:rPr>
        <w:t>3381</w:t>
      </w:r>
      <w:r w:rsidRPr="001D007C">
        <w:rPr>
          <w:rFonts w:cs="Arial"/>
          <w:color w:val="000000" w:themeColor="text1"/>
          <w:szCs w:val="20"/>
        </w:rPr>
        <w:t xml:space="preserve"> (menetlusdokumendid nähtavad e-toimiku kaudu). Kohus määras</w:t>
      </w:r>
      <w:r>
        <w:rPr>
          <w:rFonts w:cs="Arial"/>
          <w:color w:val="000000" w:themeColor="text1"/>
          <w:szCs w:val="20"/>
        </w:rPr>
        <w:t xml:space="preserve"> 30. aprilli 2024</w:t>
      </w:r>
      <w:r w:rsidRPr="001D007C">
        <w:rPr>
          <w:rFonts w:cs="Arial"/>
          <w:color w:val="000000" w:themeColor="text1"/>
          <w:szCs w:val="20"/>
        </w:rPr>
        <w:t xml:space="preserve"> määrusega pankrotiseaduse (PankrS) §</w:t>
      </w:r>
      <w:r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30 lg</w:t>
      </w:r>
      <w:r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1 alusel pankrotiavalduse menetluse raugemise vältimiseks deposiidina makstava summa suuruseks</w:t>
      </w:r>
      <w:r>
        <w:rPr>
          <w:rFonts w:cs="Arial"/>
          <w:color w:val="000000" w:themeColor="text1"/>
          <w:szCs w:val="20"/>
        </w:rPr>
        <w:t xml:space="preserve"> 5000 </w:t>
      </w:r>
      <w:r w:rsidRPr="001D007C">
        <w:rPr>
          <w:rFonts w:cs="Arial"/>
          <w:color w:val="000000" w:themeColor="text1"/>
          <w:szCs w:val="20"/>
        </w:rPr>
        <w:t>eurot ja maksmise tähtajaks</w:t>
      </w:r>
      <w:r>
        <w:rPr>
          <w:rFonts w:cs="Arial"/>
          <w:color w:val="000000" w:themeColor="text1"/>
          <w:szCs w:val="20"/>
        </w:rPr>
        <w:t xml:space="preserve"> 22. mai 2024</w:t>
      </w:r>
      <w:r w:rsidRPr="001D007C">
        <w:rPr>
          <w:rFonts w:cs="Arial"/>
          <w:color w:val="000000" w:themeColor="text1"/>
          <w:szCs w:val="20"/>
        </w:rPr>
        <w:t>. Võlausaldajad ega kolmandad isikud deposiidina määratud summat</w:t>
      </w:r>
      <w:r>
        <w:rPr>
          <w:rFonts w:cs="Arial"/>
          <w:color w:val="000000" w:themeColor="text1"/>
          <w:szCs w:val="20"/>
        </w:rPr>
        <w:t xml:space="preserve"> </w:t>
      </w:r>
      <w:r w:rsidRPr="00A6263F">
        <w:rPr>
          <w:rFonts w:cs="Arial"/>
          <w:bCs/>
          <w:color w:val="000000" w:themeColor="text1"/>
          <w:szCs w:val="20"/>
        </w:rPr>
        <w:t>OÜ</w:t>
      </w:r>
      <w:r>
        <w:rPr>
          <w:rFonts w:cs="Arial"/>
          <w:bCs/>
          <w:color w:val="000000" w:themeColor="text1"/>
          <w:szCs w:val="20"/>
        </w:rPr>
        <w:t> Walton</w:t>
      </w:r>
      <w:r w:rsidRPr="001D007C">
        <w:rPr>
          <w:rFonts w:cs="Arial"/>
          <w:color w:val="000000" w:themeColor="text1"/>
          <w:szCs w:val="20"/>
        </w:rPr>
        <w:t xml:space="preserve"> pankrotiavalduse menetluse raugemise vältimiseks tasunud ei ole.</w:t>
      </w:r>
    </w:p>
    <w:p w14:paraId="71FD966C" w14:textId="77777777" w:rsidR="001F1078" w:rsidRDefault="001F1078" w:rsidP="001F1078">
      <w:pPr>
        <w:jc w:val="both"/>
        <w:rPr>
          <w:rFonts w:cs="Arial"/>
          <w:color w:val="000000" w:themeColor="text1"/>
          <w:szCs w:val="20"/>
        </w:rPr>
      </w:pPr>
    </w:p>
    <w:p w14:paraId="2880A4AC" w14:textId="77777777" w:rsidR="001F1078" w:rsidRPr="001D007C" w:rsidRDefault="001F1078" w:rsidP="001F1078">
      <w:pPr>
        <w:jc w:val="both"/>
        <w:rPr>
          <w:rFonts w:cs="Arial"/>
          <w:bCs/>
          <w:color w:val="000000" w:themeColor="text1"/>
          <w:szCs w:val="20"/>
          <w:lang w:eastAsia="et-EE"/>
        </w:rPr>
      </w:pPr>
      <w:r w:rsidRPr="001D007C">
        <w:rPr>
          <w:rFonts w:cs="Arial"/>
          <w:color w:val="000000" w:themeColor="text1"/>
          <w:szCs w:val="20"/>
        </w:rPr>
        <w:t>PankrS §</w:t>
      </w:r>
      <w:r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192</w:t>
      </w:r>
      <w:r w:rsidRPr="001D007C">
        <w:rPr>
          <w:rFonts w:cs="Arial"/>
          <w:color w:val="000000" w:themeColor="text1"/>
          <w:szCs w:val="20"/>
          <w:vertAlign w:val="superscript"/>
        </w:rPr>
        <w:t>11</w:t>
      </w:r>
      <w:r w:rsidRPr="001D007C">
        <w:rPr>
          <w:rFonts w:cs="Arial"/>
          <w:color w:val="000000" w:themeColor="text1"/>
          <w:szCs w:val="20"/>
        </w:rPr>
        <w:t xml:space="preserve"> lg</w:t>
      </w:r>
      <w:r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1 (ka §</w:t>
      </w:r>
      <w:r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30 lg</w:t>
      </w:r>
      <w:r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 xml:space="preserve">5) kohaselt teeb kohus maksejõuetuse teenistusele ettepaneku pankrotimenetluse läbiviimiseks avaliku uurimisena, kui juriidilisest isikust võlgnikul ei jätku pankrotimenetluse läbiviimiseks raha ja keegi ei ole tasunud </w:t>
      </w:r>
      <w:r>
        <w:rPr>
          <w:rFonts w:cs="Arial"/>
          <w:color w:val="000000" w:themeColor="text1"/>
          <w:szCs w:val="20"/>
        </w:rPr>
        <w:t xml:space="preserve">PankrS </w:t>
      </w:r>
      <w:r w:rsidRPr="001D007C">
        <w:rPr>
          <w:rFonts w:cs="Arial"/>
          <w:color w:val="000000" w:themeColor="text1"/>
          <w:szCs w:val="20"/>
        </w:rPr>
        <w:t>§</w:t>
      </w:r>
      <w:r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30 kohaselt menetluskulude katteks deposiiti. Ettepaneku saamisel võib maksejõuetuse teenistus PankrS §</w:t>
      </w:r>
      <w:r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192</w:t>
      </w:r>
      <w:r w:rsidRPr="001D007C">
        <w:rPr>
          <w:rFonts w:cs="Arial"/>
          <w:color w:val="000000" w:themeColor="text1"/>
          <w:szCs w:val="20"/>
          <w:vertAlign w:val="superscript"/>
        </w:rPr>
        <w:t>11</w:t>
      </w:r>
      <w:r w:rsidRPr="001D007C">
        <w:rPr>
          <w:rFonts w:cs="Arial"/>
          <w:color w:val="000000" w:themeColor="text1"/>
          <w:szCs w:val="20"/>
        </w:rPr>
        <w:t xml:space="preserve"> lg</w:t>
      </w:r>
      <w:r>
        <w:rPr>
          <w:rFonts w:cs="Arial"/>
          <w:color w:val="000000" w:themeColor="text1"/>
          <w:szCs w:val="20"/>
        </w:rPr>
        <w:t> 2 järgi</w:t>
      </w:r>
      <w:r w:rsidRPr="001D007C">
        <w:rPr>
          <w:rFonts w:cs="Arial"/>
          <w:color w:val="000000" w:themeColor="text1"/>
          <w:szCs w:val="20"/>
        </w:rPr>
        <w:t xml:space="preserve"> teha kohtule põhjendatud avalduse pankrotimenetluse läbiviimiseks avaliku uurimisena, kui muul juhul pankrotiavalduse menetlus PankrS §</w:t>
      </w:r>
      <w:r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29 alusel raugeks.</w:t>
      </w:r>
    </w:p>
    <w:p w14:paraId="6A3A22A3" w14:textId="77777777" w:rsidR="001F1078" w:rsidRPr="001D007C" w:rsidRDefault="001F1078" w:rsidP="001F1078">
      <w:pPr>
        <w:jc w:val="both"/>
        <w:rPr>
          <w:rFonts w:cs="Arial"/>
          <w:bCs/>
          <w:color w:val="000000" w:themeColor="text1"/>
          <w:szCs w:val="20"/>
          <w:lang w:eastAsia="et-EE"/>
        </w:rPr>
      </w:pPr>
    </w:p>
    <w:p w14:paraId="534FC458" w14:textId="77777777" w:rsidR="001F1078" w:rsidRPr="001D007C" w:rsidRDefault="001F1078" w:rsidP="001F1078">
      <w:pPr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Eeltoodut</w:t>
      </w:r>
      <w:r>
        <w:rPr>
          <w:rFonts w:cs="Arial"/>
          <w:color w:val="000000" w:themeColor="text1"/>
          <w:szCs w:val="20"/>
        </w:rPr>
        <w:t xml:space="preserve"> arvestades</w:t>
      </w:r>
      <w:r w:rsidRPr="001D007C">
        <w:rPr>
          <w:rFonts w:cs="Arial"/>
          <w:color w:val="000000" w:themeColor="text1"/>
          <w:szCs w:val="20"/>
        </w:rPr>
        <w:t xml:space="preserve"> teeb kohus PankrS §</w:t>
      </w:r>
      <w:r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30 lg</w:t>
      </w:r>
      <w:r>
        <w:rPr>
          <w:rFonts w:cs="Arial"/>
          <w:color w:val="000000" w:themeColor="text1"/>
          <w:szCs w:val="20"/>
        </w:rPr>
        <w:t> </w:t>
      </w:r>
      <w:r w:rsidRPr="001D007C">
        <w:rPr>
          <w:rFonts w:cs="Arial"/>
          <w:color w:val="000000" w:themeColor="text1"/>
          <w:szCs w:val="20"/>
        </w:rPr>
        <w:t>5 alusel maksejõuetuse teenistusele ettepaneku otsustada avalduse esitamine või esitamata jätmine</w:t>
      </w:r>
      <w:r>
        <w:rPr>
          <w:rFonts w:cs="Arial"/>
          <w:color w:val="000000" w:themeColor="text1"/>
          <w:szCs w:val="20"/>
        </w:rPr>
        <w:t xml:space="preserve"> </w:t>
      </w:r>
      <w:r w:rsidRPr="00A6263F">
        <w:rPr>
          <w:rFonts w:cs="Arial"/>
          <w:bCs/>
          <w:color w:val="000000" w:themeColor="text1"/>
          <w:szCs w:val="20"/>
        </w:rPr>
        <w:t>OÜ</w:t>
      </w:r>
      <w:r>
        <w:rPr>
          <w:rFonts w:cs="Arial"/>
          <w:bCs/>
          <w:color w:val="000000" w:themeColor="text1"/>
          <w:szCs w:val="20"/>
        </w:rPr>
        <w:t> Walton</w:t>
      </w:r>
      <w:r w:rsidRPr="001D007C">
        <w:rPr>
          <w:rFonts w:cs="Arial"/>
          <w:color w:val="000000" w:themeColor="text1"/>
          <w:szCs w:val="20"/>
        </w:rPr>
        <w:t xml:space="preserve"> pankrotimenetluse läbiviimiseks avaliku uurimisena </w:t>
      </w:r>
      <w:r w:rsidRPr="006361F8">
        <w:rPr>
          <w:rFonts w:cs="Arial"/>
          <w:b/>
          <w:bCs/>
          <w:color w:val="000000" w:themeColor="text1"/>
          <w:szCs w:val="20"/>
        </w:rPr>
        <w:t xml:space="preserve">hiljemalt </w:t>
      </w:r>
      <w:r>
        <w:rPr>
          <w:rFonts w:cs="Arial"/>
          <w:b/>
          <w:bCs/>
          <w:color w:val="000000" w:themeColor="text1"/>
          <w:szCs w:val="20"/>
        </w:rPr>
        <w:t>2</w:t>
      </w:r>
      <w:r w:rsidRPr="006361F8">
        <w:rPr>
          <w:rFonts w:cs="Arial"/>
          <w:b/>
          <w:bCs/>
          <w:color w:val="000000" w:themeColor="text1"/>
          <w:szCs w:val="20"/>
        </w:rPr>
        <w:t>1. </w:t>
      </w:r>
      <w:r>
        <w:rPr>
          <w:rFonts w:cs="Arial"/>
          <w:b/>
          <w:bCs/>
          <w:color w:val="000000" w:themeColor="text1"/>
          <w:szCs w:val="20"/>
        </w:rPr>
        <w:t xml:space="preserve">juunil </w:t>
      </w:r>
      <w:r w:rsidRPr="006361F8">
        <w:rPr>
          <w:rFonts w:cs="Arial"/>
          <w:b/>
          <w:bCs/>
          <w:color w:val="000000" w:themeColor="text1"/>
          <w:szCs w:val="20"/>
        </w:rPr>
        <w:t>2024</w:t>
      </w:r>
      <w:r w:rsidRPr="001D007C">
        <w:rPr>
          <w:rFonts w:cs="Arial"/>
          <w:color w:val="000000" w:themeColor="text1"/>
          <w:szCs w:val="20"/>
        </w:rPr>
        <w:t>.</w:t>
      </w:r>
    </w:p>
    <w:p w14:paraId="362C4AD9" w14:textId="77777777" w:rsidR="001F1078" w:rsidRPr="001D007C" w:rsidRDefault="001F1078" w:rsidP="001F1078">
      <w:pPr>
        <w:jc w:val="both"/>
        <w:rPr>
          <w:rFonts w:cs="Arial"/>
          <w:color w:val="000000" w:themeColor="text1"/>
          <w:szCs w:val="20"/>
        </w:rPr>
      </w:pPr>
    </w:p>
    <w:p w14:paraId="5C40295E" w14:textId="77777777" w:rsidR="001F1078" w:rsidRPr="001D007C" w:rsidRDefault="001F1078" w:rsidP="001F1078">
      <w:pPr>
        <w:jc w:val="both"/>
        <w:rPr>
          <w:rFonts w:cs="Arial"/>
          <w:color w:val="000000" w:themeColor="text1"/>
          <w:szCs w:val="20"/>
        </w:rPr>
      </w:pPr>
    </w:p>
    <w:p w14:paraId="247FE061" w14:textId="77777777" w:rsidR="001F1078" w:rsidRPr="001D007C" w:rsidRDefault="001F1078" w:rsidP="001F1078">
      <w:pPr>
        <w:jc w:val="both"/>
        <w:rPr>
          <w:rFonts w:cs="Arial"/>
          <w:color w:val="000000" w:themeColor="text1"/>
          <w:szCs w:val="20"/>
        </w:rPr>
      </w:pPr>
    </w:p>
    <w:p w14:paraId="58CFABEC" w14:textId="77777777" w:rsidR="001F1078" w:rsidRPr="001D007C" w:rsidRDefault="001F1078" w:rsidP="001F1078">
      <w:pPr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Lugupidamisega</w:t>
      </w:r>
    </w:p>
    <w:p w14:paraId="32036FE6" w14:textId="77777777" w:rsidR="001F1078" w:rsidRPr="001D007C" w:rsidRDefault="001F1078" w:rsidP="001F1078">
      <w:pPr>
        <w:jc w:val="both"/>
        <w:rPr>
          <w:rFonts w:cs="Arial"/>
          <w:color w:val="000000" w:themeColor="text1"/>
          <w:szCs w:val="20"/>
        </w:rPr>
      </w:pPr>
    </w:p>
    <w:p w14:paraId="48E8AB5D" w14:textId="77777777" w:rsidR="001F1078" w:rsidRPr="001D007C" w:rsidRDefault="001F1078" w:rsidP="001F1078">
      <w:pPr>
        <w:jc w:val="both"/>
        <w:rPr>
          <w:rFonts w:cs="Arial"/>
          <w:color w:val="000000" w:themeColor="text1"/>
          <w:szCs w:val="20"/>
        </w:rPr>
      </w:pPr>
    </w:p>
    <w:p w14:paraId="2102DC57" w14:textId="77777777" w:rsidR="001F1078" w:rsidRPr="001D007C" w:rsidRDefault="001F1078" w:rsidP="001F1078">
      <w:pPr>
        <w:pStyle w:val="Kehatekst2"/>
        <w:tabs>
          <w:tab w:val="clear" w:pos="1843"/>
          <w:tab w:val="clear" w:pos="7088"/>
          <w:tab w:val="left" w:pos="0"/>
        </w:tabs>
        <w:spacing w:before="40" w:after="40"/>
        <w:jc w:val="both"/>
        <w:rPr>
          <w:rFonts w:ascii="Arial" w:hAnsi="Arial" w:cs="Arial"/>
          <w:iCs/>
          <w:color w:val="000000" w:themeColor="text1"/>
          <w:szCs w:val="20"/>
        </w:rPr>
      </w:pPr>
      <w:r w:rsidRPr="001D007C">
        <w:rPr>
          <w:rFonts w:ascii="Arial" w:hAnsi="Arial" w:cs="Arial"/>
          <w:iCs/>
          <w:color w:val="000000" w:themeColor="text1"/>
          <w:szCs w:val="20"/>
        </w:rPr>
        <w:t>(allkirjastatud digitaalselt)</w:t>
      </w:r>
    </w:p>
    <w:p w14:paraId="05CBA903" w14:textId="77777777" w:rsidR="001F1078" w:rsidRPr="001D007C" w:rsidRDefault="001F1078" w:rsidP="001F1078">
      <w:pPr>
        <w:tabs>
          <w:tab w:val="left" w:pos="850"/>
        </w:tabs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Piia Aleksejeva</w:t>
      </w:r>
    </w:p>
    <w:p w14:paraId="250462B8" w14:textId="5FF56578" w:rsidR="00811E61" w:rsidRPr="001F1078" w:rsidRDefault="001F1078" w:rsidP="001F1078">
      <w:pPr>
        <w:tabs>
          <w:tab w:val="left" w:pos="850"/>
        </w:tabs>
        <w:jc w:val="both"/>
        <w:rPr>
          <w:rFonts w:cs="Arial"/>
          <w:color w:val="000000" w:themeColor="text1"/>
          <w:szCs w:val="20"/>
        </w:rPr>
      </w:pPr>
      <w:r w:rsidRPr="001D007C">
        <w:rPr>
          <w:rFonts w:cs="Arial"/>
          <w:color w:val="000000" w:themeColor="text1"/>
          <w:szCs w:val="20"/>
        </w:rPr>
        <w:t>k</w:t>
      </w:r>
      <w:r>
        <w:rPr>
          <w:rFonts w:cs="Arial"/>
          <w:color w:val="000000" w:themeColor="text1"/>
          <w:szCs w:val="20"/>
        </w:rPr>
        <w:t>oh</w:t>
      </w:r>
      <w:r w:rsidRPr="001D007C">
        <w:rPr>
          <w:rFonts w:cs="Arial"/>
          <w:color w:val="000000" w:themeColor="text1"/>
          <w:szCs w:val="20"/>
        </w:rPr>
        <w:t>tujurist</w:t>
      </w:r>
      <w:r w:rsidR="00811E61" w:rsidRPr="001F1078">
        <w:rPr>
          <w:rFonts w:cs="Arial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8" type="#_x0000_t202" style="position:absolute;left:0;text-align:left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1F1078" w:rsidSect="00811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5D43F" w14:textId="77777777" w:rsidR="00B32C7F" w:rsidRDefault="00B32C7F" w:rsidP="00DA1915">
      <w:r>
        <w:separator/>
      </w:r>
    </w:p>
  </w:endnote>
  <w:endnote w:type="continuationSeparator" w:id="0">
    <w:p w14:paraId="660F5E34" w14:textId="77777777" w:rsidR="00B32C7F" w:rsidRDefault="00B32C7F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2D74" w14:textId="77777777" w:rsidR="0027478D" w:rsidRDefault="0027478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2670" w14:textId="77777777" w:rsidR="0027478D" w:rsidRDefault="0027478D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6954A3EB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="0027478D" w:rsidRPr="0027478D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tmktartu.menetlus@kohus.ee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9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6954A3EB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="0027478D" w:rsidRPr="0027478D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tmktartu.menetlus@kohus.ee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49F64" w14:textId="77777777" w:rsidR="00B32C7F" w:rsidRDefault="00B32C7F" w:rsidP="00DA1915">
      <w:r>
        <w:separator/>
      </w:r>
    </w:p>
  </w:footnote>
  <w:footnote w:type="continuationSeparator" w:id="0">
    <w:p w14:paraId="6F132C43" w14:textId="77777777" w:rsidR="00B32C7F" w:rsidRDefault="00B32C7F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402B0" w14:textId="77777777" w:rsidR="0027478D" w:rsidRDefault="0027478D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EDF5" w14:textId="77777777" w:rsidR="0027478D" w:rsidRDefault="0027478D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64D94807" w:rsidR="00C94E3C" w:rsidRDefault="00F4381D">
    <w:pPr>
      <w:pStyle w:val="Pis"/>
    </w:pPr>
    <w:r w:rsidRPr="00F4381D">
      <w:rPr>
        <w:noProof/>
      </w:rPr>
      <w:drawing>
        <wp:anchor distT="0" distB="0" distL="114300" distR="114300" simplePos="0" relativeHeight="251672576" behindDoc="0" locked="0" layoutInCell="1" allowOverlap="1" wp14:anchorId="7EAD2B3A" wp14:editId="4B210DAB">
          <wp:simplePos x="0" y="0"/>
          <wp:positionH relativeFrom="column">
            <wp:posOffset>-900430</wp:posOffset>
          </wp:positionH>
          <wp:positionV relativeFrom="paragraph">
            <wp:posOffset>-455930</wp:posOffset>
          </wp:positionV>
          <wp:extent cx="7562850" cy="1814830"/>
          <wp:effectExtent l="0" t="0" r="0" b="0"/>
          <wp:wrapSquare wrapText="bothSides"/>
          <wp:docPr id="7" name="Pilt 6">
            <a:extLst xmlns:a="http://schemas.openxmlformats.org/drawingml/2006/main">
              <a:ext uri="{FF2B5EF4-FFF2-40B4-BE49-F238E27FC236}">
                <a16:creationId xmlns:a16="http://schemas.microsoft.com/office/drawing/2014/main" id="{58375891-E66C-467F-2C9C-60A290E4544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lt 6">
                    <a:extLst>
                      <a:ext uri="{FF2B5EF4-FFF2-40B4-BE49-F238E27FC236}">
                        <a16:creationId xmlns:a16="http://schemas.microsoft.com/office/drawing/2014/main" id="{58375891-E66C-467F-2C9C-60A290E4544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81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50D1F"/>
    <w:rsid w:val="000C7032"/>
    <w:rsid w:val="000D7F91"/>
    <w:rsid w:val="00130A2F"/>
    <w:rsid w:val="001444F8"/>
    <w:rsid w:val="00155A80"/>
    <w:rsid w:val="001A0D48"/>
    <w:rsid w:val="001C4756"/>
    <w:rsid w:val="001C7565"/>
    <w:rsid w:val="001F1078"/>
    <w:rsid w:val="00224945"/>
    <w:rsid w:val="00225B96"/>
    <w:rsid w:val="002719AB"/>
    <w:rsid w:val="0027478D"/>
    <w:rsid w:val="00352056"/>
    <w:rsid w:val="003A6D85"/>
    <w:rsid w:val="003D41E3"/>
    <w:rsid w:val="003F0460"/>
    <w:rsid w:val="003F6F57"/>
    <w:rsid w:val="004365BC"/>
    <w:rsid w:val="004900A5"/>
    <w:rsid w:val="004A1192"/>
    <w:rsid w:val="004F109E"/>
    <w:rsid w:val="0051481A"/>
    <w:rsid w:val="0055716E"/>
    <w:rsid w:val="00572025"/>
    <w:rsid w:val="005D16E8"/>
    <w:rsid w:val="005F0FF9"/>
    <w:rsid w:val="006444D2"/>
    <w:rsid w:val="006A69E8"/>
    <w:rsid w:val="006B1210"/>
    <w:rsid w:val="006D5809"/>
    <w:rsid w:val="006F02D2"/>
    <w:rsid w:val="00710F28"/>
    <w:rsid w:val="00791DB2"/>
    <w:rsid w:val="007B7B17"/>
    <w:rsid w:val="00811E61"/>
    <w:rsid w:val="00873A81"/>
    <w:rsid w:val="008A764D"/>
    <w:rsid w:val="008F0FC9"/>
    <w:rsid w:val="0094633F"/>
    <w:rsid w:val="009B5A17"/>
    <w:rsid w:val="00A216EE"/>
    <w:rsid w:val="00A252B8"/>
    <w:rsid w:val="00A279CA"/>
    <w:rsid w:val="00A3029D"/>
    <w:rsid w:val="00A52543"/>
    <w:rsid w:val="00AA2AFB"/>
    <w:rsid w:val="00AB2218"/>
    <w:rsid w:val="00AE57B5"/>
    <w:rsid w:val="00B310B5"/>
    <w:rsid w:val="00B32C7F"/>
    <w:rsid w:val="00B57933"/>
    <w:rsid w:val="00B85165"/>
    <w:rsid w:val="00BF1D1A"/>
    <w:rsid w:val="00C34787"/>
    <w:rsid w:val="00C8651B"/>
    <w:rsid w:val="00C94E3C"/>
    <w:rsid w:val="00CB7D32"/>
    <w:rsid w:val="00CC5B66"/>
    <w:rsid w:val="00DA1915"/>
    <w:rsid w:val="00DD415C"/>
    <w:rsid w:val="00DE4BBF"/>
    <w:rsid w:val="00DF17D0"/>
    <w:rsid w:val="00DF7D85"/>
    <w:rsid w:val="00E349D5"/>
    <w:rsid w:val="00E40D30"/>
    <w:rsid w:val="00E7252F"/>
    <w:rsid w:val="00E736B1"/>
    <w:rsid w:val="00EB0DA6"/>
    <w:rsid w:val="00ED24E6"/>
    <w:rsid w:val="00EE667C"/>
    <w:rsid w:val="00F4381D"/>
    <w:rsid w:val="00F55873"/>
    <w:rsid w:val="00F67272"/>
    <w:rsid w:val="00F8430B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Kehatekst2">
    <w:name w:val="Body Text 2"/>
    <w:basedOn w:val="Normaallaad"/>
    <w:link w:val="Kehatekst2Mrk"/>
    <w:rsid w:val="001F1078"/>
    <w:pPr>
      <w:tabs>
        <w:tab w:val="left" w:pos="1843"/>
        <w:tab w:val="left" w:pos="7088"/>
      </w:tabs>
    </w:pPr>
    <w:rPr>
      <w:rFonts w:ascii="Times New Roman" w:eastAsia="Times New Roman" w:hAnsi="Times New Roman" w:cs="Times New Roman"/>
      <w:lang w:eastAsia="et-EE"/>
    </w:rPr>
  </w:style>
  <w:style w:type="character" w:customStyle="1" w:styleId="Kehatekst2Mrk">
    <w:name w:val="Kehatekst 2 Märk"/>
    <w:basedOn w:val="Liguvaikefont"/>
    <w:link w:val="Kehatekst2"/>
    <w:rsid w:val="001F1078"/>
    <w:rPr>
      <w:rFonts w:ascii="Times New Roman" w:eastAsia="Times New Roman" w:hAnsi="Times New Roman" w:cs="Times New Roman"/>
      <w:sz w:val="20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Piia Aleksejeva</cp:lastModifiedBy>
  <cp:revision>3</cp:revision>
  <dcterms:created xsi:type="dcterms:W3CDTF">2024-05-23T06:19:00Z</dcterms:created>
  <dcterms:modified xsi:type="dcterms:W3CDTF">2024-05-23T06:24:00Z</dcterms:modified>
</cp:coreProperties>
</file>